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D6F95" w14:textId="77777777" w:rsidR="002C2CDB" w:rsidRDefault="002C2CDB" w:rsidP="00667770">
      <w:pPr>
        <w:pStyle w:val="NoSpacing"/>
        <w:jc w:val="right"/>
      </w:pPr>
      <w:r>
        <w:t>PRESS RELEASE</w:t>
      </w:r>
    </w:p>
    <w:p w14:paraId="140E8039" w14:textId="77777777" w:rsidR="002C2CDB" w:rsidRDefault="002C2CDB" w:rsidP="00667770">
      <w:pPr>
        <w:pStyle w:val="NoSpacing"/>
        <w:jc w:val="right"/>
      </w:pPr>
      <w:r>
        <w:t>For Immediate Release</w:t>
      </w:r>
    </w:p>
    <w:p w14:paraId="0B59BD10" w14:textId="77777777" w:rsidR="002C2CDB" w:rsidRDefault="00BB4014" w:rsidP="00667770">
      <w:pPr>
        <w:pStyle w:val="NoSpacing"/>
        <w:jc w:val="right"/>
      </w:pPr>
      <w:r>
        <w:t>12 November 2015</w:t>
      </w:r>
    </w:p>
    <w:p w14:paraId="0CB6C4B0" w14:textId="77777777" w:rsidR="00BA46CD" w:rsidRDefault="00BA46CD" w:rsidP="00667770">
      <w:pPr>
        <w:pStyle w:val="NoSpacing"/>
        <w:jc w:val="center"/>
      </w:pPr>
    </w:p>
    <w:p w14:paraId="5AA45E6A" w14:textId="77777777" w:rsidR="002C2CDB" w:rsidRPr="002C2CDB" w:rsidRDefault="002C2CDB" w:rsidP="00667770">
      <w:pPr>
        <w:pStyle w:val="NoSpacing"/>
        <w:jc w:val="center"/>
        <w:rPr>
          <w:b/>
        </w:rPr>
      </w:pPr>
      <w:r w:rsidRPr="002C2CDB">
        <w:rPr>
          <w:b/>
        </w:rPr>
        <w:t>A Global High Shift Cycling Scenario</w:t>
      </w:r>
    </w:p>
    <w:p w14:paraId="6EC6F779" w14:textId="77777777" w:rsidR="002C2CDB" w:rsidRPr="002C2CDB" w:rsidRDefault="002C2CDB" w:rsidP="00667770">
      <w:pPr>
        <w:pStyle w:val="NoSpacing"/>
        <w:jc w:val="center"/>
        <w:rPr>
          <w:b/>
        </w:rPr>
      </w:pPr>
      <w:r w:rsidRPr="002C2CDB">
        <w:rPr>
          <w:b/>
        </w:rPr>
        <w:t>Cycling could save cities $25 trillion and 10% of transport CO2 emissions by 2050</w:t>
      </w:r>
    </w:p>
    <w:p w14:paraId="6210DD88" w14:textId="77777777" w:rsidR="002C2CDB" w:rsidRDefault="002C2CDB" w:rsidP="00667770"/>
    <w:p w14:paraId="3C0F9EEC" w14:textId="77777777" w:rsidR="008D2293" w:rsidRDefault="00617536" w:rsidP="00667770">
      <w:r>
        <w:t xml:space="preserve">The incredible potential of dramatically increasing cycling is captured for the first time in a scientific study carried out </w:t>
      </w:r>
      <w:r w:rsidR="002C2CDB">
        <w:t>by ITDP and UC Davis</w:t>
      </w:r>
      <w:r>
        <w:t xml:space="preserve">. </w:t>
      </w:r>
      <w:r w:rsidR="00AE5A86" w:rsidRPr="00AE5A86">
        <w:rPr>
          <w:i/>
        </w:rPr>
        <w:t xml:space="preserve">A </w:t>
      </w:r>
      <w:r w:rsidR="002C2CDB" w:rsidRPr="002C2CDB">
        <w:rPr>
          <w:i/>
        </w:rPr>
        <w:t>Global High Shift Cycling Scenario</w:t>
      </w:r>
      <w:r w:rsidR="002C2CDB">
        <w:t xml:space="preserve"> shows </w:t>
      </w:r>
      <w:r>
        <w:t xml:space="preserve">that </w:t>
      </w:r>
      <w:r w:rsidR="001A441C">
        <w:t xml:space="preserve">cycling and e-biking can cut </w:t>
      </w:r>
      <w:r>
        <w:t xml:space="preserve">energy use and CO2 emissions of urban transport </w:t>
      </w:r>
      <w:r w:rsidR="001A441C">
        <w:t>by</w:t>
      </w:r>
      <w:r>
        <w:t xml:space="preserve"> up to </w:t>
      </w:r>
      <w:r w:rsidR="00AE5A86">
        <w:t>10</w:t>
      </w:r>
      <w:r>
        <w:t>% by 2050 compared to current estimations</w:t>
      </w:r>
      <w:r w:rsidR="001A441C">
        <w:t>,</w:t>
      </w:r>
      <w:r>
        <w:t xml:space="preserve"> </w:t>
      </w:r>
      <w:r w:rsidR="00275720">
        <w:t xml:space="preserve">while saving </w:t>
      </w:r>
      <w:r>
        <w:t xml:space="preserve">society </w:t>
      </w:r>
      <w:r w:rsidR="00275720">
        <w:t>trillions of dollars</w:t>
      </w:r>
      <w:r>
        <w:t xml:space="preserve">. </w:t>
      </w:r>
    </w:p>
    <w:p w14:paraId="3E508885" w14:textId="77777777" w:rsidR="004C5973" w:rsidRDefault="004C5973" w:rsidP="00667770">
      <w:r>
        <w:t>“This is the first report that quantifies the potential CO2 and cost savings associated with a world-wide shift toward much greater use of cycling in urban areas,” said report co-author Lew Fulton, co-director of the STEPS Program within the Institute of Transportation Studies at the University of California, Davis. “The estimated impacts surprised me because they are so large. The costs saved in lower energy use and reducing the need for car travel, new roads, and parking lots through 2050 are substantial.”</w:t>
      </w:r>
    </w:p>
    <w:p w14:paraId="3292266A" w14:textId="77777777" w:rsidR="004C5973" w:rsidRDefault="00617536" w:rsidP="00667770">
      <w:r>
        <w:t>According to the study, the</w:t>
      </w:r>
      <w:r w:rsidR="004C5973">
        <w:t xml:space="preserve"> right mix of investments and public policies </w:t>
      </w:r>
      <w:r>
        <w:t xml:space="preserve">can </w:t>
      </w:r>
      <w:r w:rsidR="006557F9">
        <w:t>bring bikes</w:t>
      </w:r>
      <w:r w:rsidR="004C5973" w:rsidRPr="004C5973">
        <w:t xml:space="preserve"> and e-bike</w:t>
      </w:r>
      <w:r>
        <w:t xml:space="preserve">s </w:t>
      </w:r>
      <w:r w:rsidR="006557F9">
        <w:t xml:space="preserve">to cover </w:t>
      </w:r>
      <w:r w:rsidR="004C5973">
        <w:t xml:space="preserve">up to </w:t>
      </w:r>
      <w:r w:rsidR="004C5973" w:rsidRPr="004C5973">
        <w:t>14% of urban kilometers</w:t>
      </w:r>
      <w:r w:rsidR="004C5973">
        <w:t xml:space="preserve"> by 2050 </w:t>
      </w:r>
      <w:r w:rsidR="00AE5A86">
        <w:t xml:space="preserve">- </w:t>
      </w:r>
      <w:r w:rsidR="004C5973" w:rsidRPr="004C5973">
        <w:t>ranging from about 25% in the Netherlands and China to about 7% in the U.S. and Canada.</w:t>
      </w:r>
      <w:r w:rsidR="004C5973">
        <w:t xml:space="preserve"> The potential is enormous when considering that </w:t>
      </w:r>
      <w:r w:rsidR="004C5973" w:rsidRPr="004C5973">
        <w:t>typically more than half of all</w:t>
      </w:r>
      <w:r w:rsidR="004C5973">
        <w:t xml:space="preserve"> urban</w:t>
      </w:r>
      <w:r w:rsidR="004C5973" w:rsidRPr="004C5973">
        <w:t xml:space="preserve"> trips </w:t>
      </w:r>
      <w:r w:rsidR="001A441C">
        <w:t xml:space="preserve">around the world </w:t>
      </w:r>
      <w:r w:rsidR="004C5973" w:rsidRPr="004C5973">
        <w:t>are less than 10 kilometers</w:t>
      </w:r>
      <w:r w:rsidR="004C5973">
        <w:t xml:space="preserve"> and can be potentially be done by bike. </w:t>
      </w:r>
    </w:p>
    <w:p w14:paraId="2BD89104" w14:textId="370FDA03" w:rsidR="00617536" w:rsidRDefault="00617536" w:rsidP="00667770">
      <w:r>
        <w:t xml:space="preserve">“This is an excellent </w:t>
      </w:r>
      <w:r w:rsidR="00AE5A86">
        <w:t>study;</w:t>
      </w:r>
      <w:r>
        <w:t xml:space="preserve"> worthy to be used worldwide for getting cycling in all policies across the globe at all levels, from local to international. We need to unlock the potential”, said Dr. Bernhard Ensink, Secretary-General of the European Cyclists’ Federation, one of </w:t>
      </w:r>
      <w:r w:rsidR="006557F9">
        <w:t xml:space="preserve">the </w:t>
      </w:r>
      <w:r w:rsidR="00E649E0">
        <w:t xml:space="preserve">associations </w:t>
      </w:r>
      <w:r w:rsidR="00ED12E3">
        <w:t xml:space="preserve">which </w:t>
      </w:r>
      <w:r w:rsidR="00E649E0">
        <w:t>commissioned the</w:t>
      </w:r>
      <w:r>
        <w:t xml:space="preserve"> </w:t>
      </w:r>
      <w:r w:rsidR="00ED12E3">
        <w:t>study</w:t>
      </w:r>
      <w:r>
        <w:t>.</w:t>
      </w:r>
    </w:p>
    <w:p w14:paraId="2E401E7F" w14:textId="4A8AB977" w:rsidR="00D675C4" w:rsidRDefault="00D675C4" w:rsidP="00667770">
      <w:r>
        <w:t>"Cycling is a crucial means of transport for millions of people around the world,” says Brian Cookson</w:t>
      </w:r>
      <w:r w:rsidR="008D2293">
        <w:t>, President of the UCI, which also co-funded the work</w:t>
      </w:r>
      <w:r>
        <w:t>. “</w:t>
      </w:r>
      <w:r w:rsidR="00ED12E3">
        <w:t>This</w:t>
      </w:r>
      <w:r w:rsidR="008D2293" w:rsidRPr="008D2293">
        <w:t xml:space="preserve"> report demonstrates that, if more governments followed good examples lik</w:t>
      </w:r>
      <w:r w:rsidR="008D2293">
        <w:t>e the Netherlands or Denmark to make their cities better for cycling</w:t>
      </w:r>
      <w:r>
        <w:t>, we’d see huge benefits from lower carbon emissions, hugely reduced costs in transport infrastructure and potentially safer, healthier places.”</w:t>
      </w:r>
    </w:p>
    <w:p w14:paraId="6CDEB205" w14:textId="77777777" w:rsidR="00AE5A86" w:rsidRDefault="00AE5A86" w:rsidP="00667770">
      <w:r w:rsidRPr="00AE5A86">
        <w:t>"This study shows the profound impact that cycling can have in developing countries like India and China, where much of the inf</w:t>
      </w:r>
      <w:r>
        <w:t>rastructure has yet to be built,” according to Jacob Mason, co-author of the study.</w:t>
      </w:r>
      <w:r w:rsidRPr="00AE5A86">
        <w:t xml:space="preserve"> </w:t>
      </w:r>
      <w:r>
        <w:t>“</w:t>
      </w:r>
      <w:r w:rsidRPr="00AE5A86">
        <w:t>Building cities for cycling will not only lead to cleaner air and safer streets--it will save people and governments a substantial amount of money, which can be spent on other things. That's smart urban policy."</w:t>
      </w:r>
    </w:p>
    <w:p w14:paraId="5252C73E" w14:textId="2907DCDF" w:rsidR="00667770" w:rsidRDefault="00667770" w:rsidP="00667770">
      <w:r>
        <w:t>Infographic: The Benefits of Shifting to Cycling</w:t>
      </w:r>
      <w:r>
        <w:br/>
      </w:r>
      <w:hyperlink r:id="rId7" w:history="1">
        <w:r>
          <w:rPr>
            <w:rFonts w:ascii="Arial" w:hAnsi="Arial" w:cs="Arial"/>
            <w:color w:val="103CC0"/>
            <w:sz w:val="26"/>
            <w:szCs w:val="26"/>
            <w:u w:val="single" w:color="103CC0"/>
          </w:rPr>
          <w:t>https://www.itdp.org/the-benefits-of-shifting-to-cycling/</w:t>
        </w:r>
      </w:hyperlink>
    </w:p>
    <w:p w14:paraId="477B87F1" w14:textId="1FE55AAA" w:rsidR="00617536" w:rsidRDefault="00667770" w:rsidP="00667770">
      <w:r>
        <w:t>Full Report: A Global High Shift Cycling Scenario</w:t>
      </w:r>
      <w:r>
        <w:br/>
      </w:r>
      <w:r w:rsidR="00B9620D">
        <w:rPr>
          <w:rFonts w:ascii="Arial" w:hAnsi="Arial" w:cs="Arial"/>
          <w:color w:val="1A1A1A"/>
          <w:sz w:val="26"/>
          <w:szCs w:val="26"/>
        </w:rPr>
        <w:t> </w:t>
      </w:r>
      <w:hyperlink r:id="rId8" w:history="1">
        <w:r w:rsidR="00B9620D">
          <w:rPr>
            <w:rFonts w:ascii="Arial" w:hAnsi="Arial" w:cs="Arial"/>
            <w:color w:val="103CC0"/>
            <w:sz w:val="26"/>
            <w:szCs w:val="26"/>
            <w:u w:val="single" w:color="103CC0"/>
          </w:rPr>
          <w:t>https://www.itdp.org/a-global-high-shift-cycling-scenario/</w:t>
        </w:r>
      </w:hyperlink>
    </w:p>
    <w:p w14:paraId="691B1292" w14:textId="77777777" w:rsidR="00E649E0" w:rsidRDefault="00E649E0" w:rsidP="00667770">
      <w:pPr>
        <w:jc w:val="center"/>
      </w:pPr>
    </w:p>
    <w:p w14:paraId="4EA46C11" w14:textId="77777777" w:rsidR="009E3654" w:rsidRDefault="009E3654" w:rsidP="00667770">
      <w:pPr>
        <w:jc w:val="center"/>
      </w:pPr>
      <w:r>
        <w:t>---------</w:t>
      </w:r>
      <w:r w:rsidR="00BB4014">
        <w:t xml:space="preserve"> ENDS ---------</w:t>
      </w:r>
    </w:p>
    <w:p w14:paraId="14D299C7" w14:textId="77777777" w:rsidR="00BA46CD" w:rsidRDefault="00BA46CD" w:rsidP="00667770">
      <w:pPr>
        <w:rPr>
          <w:b/>
        </w:rPr>
      </w:pPr>
    </w:p>
    <w:p w14:paraId="6E621359" w14:textId="77777777" w:rsidR="00BA46CD" w:rsidRPr="00BA46CD" w:rsidRDefault="00BA46CD" w:rsidP="00667770">
      <w:pPr>
        <w:rPr>
          <w:b/>
        </w:rPr>
      </w:pPr>
      <w:r w:rsidRPr="00BA46CD">
        <w:rPr>
          <w:b/>
        </w:rPr>
        <w:t>NOTES TO THE EDITOR</w:t>
      </w:r>
    </w:p>
    <w:p w14:paraId="438D360B" w14:textId="77777777" w:rsidR="002C2CDB" w:rsidRPr="00BA46CD" w:rsidRDefault="00BA46CD" w:rsidP="00667770">
      <w:pPr>
        <w:rPr>
          <w:b/>
        </w:rPr>
      </w:pPr>
      <w:r w:rsidRPr="00BA46CD">
        <w:rPr>
          <w:b/>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BB4014" w14:paraId="28E0853F" w14:textId="77777777" w:rsidTr="00E649E0">
        <w:tc>
          <w:tcPr>
            <w:tcW w:w="10998" w:type="dxa"/>
          </w:tcPr>
          <w:p w14:paraId="1B5F0F74" w14:textId="77777777" w:rsidR="00BB4014" w:rsidRDefault="00BB4014" w:rsidP="00667770">
            <w:pPr>
              <w:pStyle w:val="NoSpacing"/>
            </w:pPr>
            <w:bookmarkStart w:id="0" w:name="_GoBack" w:colFirst="0" w:colLast="0"/>
            <w:r>
              <w:rPr>
                <w:noProof/>
              </w:rPr>
              <w:drawing>
                <wp:inline distT="0" distB="0" distL="0" distR="0" wp14:anchorId="0EDAF933" wp14:editId="0196D074">
                  <wp:extent cx="3642360" cy="7522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P_logo_prestige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245" cy="752598"/>
                          </a:xfrm>
                          <a:prstGeom prst="rect">
                            <a:avLst/>
                          </a:prstGeom>
                        </pic:spPr>
                      </pic:pic>
                    </a:graphicData>
                  </a:graphic>
                </wp:inline>
              </w:drawing>
            </w:r>
          </w:p>
        </w:tc>
      </w:tr>
      <w:tr w:rsidR="00BB4014" w14:paraId="7B1B3D8F" w14:textId="77777777" w:rsidTr="00E649E0">
        <w:tc>
          <w:tcPr>
            <w:tcW w:w="10998" w:type="dxa"/>
          </w:tcPr>
          <w:p w14:paraId="48648CE4" w14:textId="77777777" w:rsidR="00BB4014" w:rsidRDefault="00BB4014" w:rsidP="00667770">
            <w:pPr>
              <w:pStyle w:val="NoSpacing"/>
            </w:pPr>
            <w:r>
              <w:t xml:space="preserve">The </w:t>
            </w:r>
            <w:r w:rsidRPr="002C2CDB">
              <w:rPr>
                <w:b/>
              </w:rPr>
              <w:t>Institute for Transportation and Development Policy (ITDP)</w:t>
            </w:r>
            <w:r>
              <w:t xml:space="preserve"> is a global nonprofit that works with cities around the world to design, build and implement transportation solutions that cut greenhouse gas emissions, reduce poverty, and improve the quality of urban life. </w:t>
            </w:r>
          </w:p>
          <w:p w14:paraId="547DD9D9" w14:textId="77777777" w:rsidR="00BB4014" w:rsidRDefault="003947CD" w:rsidP="00667770">
            <w:pPr>
              <w:pStyle w:val="NoSpacing"/>
            </w:pPr>
            <w:hyperlink r:id="rId10" w:history="1">
              <w:r w:rsidR="00BB4014" w:rsidRPr="000A107C">
                <w:rPr>
                  <w:rStyle w:val="Hyperlink"/>
                </w:rPr>
                <w:t>www.itdp.org</w:t>
              </w:r>
            </w:hyperlink>
          </w:p>
        </w:tc>
      </w:tr>
      <w:bookmarkEnd w:id="0"/>
    </w:tbl>
    <w:p w14:paraId="5F158E15" w14:textId="77777777" w:rsidR="002C2CDB" w:rsidRDefault="002C2CDB" w:rsidP="00667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BB4014" w14:paraId="5836B877" w14:textId="77777777" w:rsidTr="00E649E0">
        <w:tc>
          <w:tcPr>
            <w:tcW w:w="10998" w:type="dxa"/>
          </w:tcPr>
          <w:p w14:paraId="58F8B4A3" w14:textId="77777777" w:rsidR="00BB4014" w:rsidRDefault="00BB4014" w:rsidP="00667770">
            <w:pPr>
              <w:pStyle w:val="NoSpacing"/>
            </w:pPr>
            <w:r>
              <w:rPr>
                <w:noProof/>
              </w:rPr>
              <w:drawing>
                <wp:inline distT="0" distB="0" distL="0" distR="0" wp14:anchorId="11C7AB17" wp14:editId="33FB46A2">
                  <wp:extent cx="3834175" cy="434340"/>
                  <wp:effectExtent l="0" t="0" r="0" b="3810"/>
                  <wp:docPr id="3" name="Picture 3" descr="C:\Users\KruchtenZ\AppData\Local\Microsoft\Windows\Temporary Internet Files\Content.Outlook\SBKIX5RZ\i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chtenZ\AppData\Local\Microsoft\Windows\Temporary Internet Files\Content.Outlook\SBKIX5RZ\it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2688" cy="438703"/>
                          </a:xfrm>
                          <a:prstGeom prst="rect">
                            <a:avLst/>
                          </a:prstGeom>
                          <a:noFill/>
                          <a:ln>
                            <a:noFill/>
                          </a:ln>
                        </pic:spPr>
                      </pic:pic>
                    </a:graphicData>
                  </a:graphic>
                </wp:inline>
              </w:drawing>
            </w:r>
          </w:p>
        </w:tc>
      </w:tr>
      <w:tr w:rsidR="00BB4014" w14:paraId="37C7972B" w14:textId="77777777" w:rsidTr="00E649E0">
        <w:tc>
          <w:tcPr>
            <w:tcW w:w="10998" w:type="dxa"/>
          </w:tcPr>
          <w:p w14:paraId="464F929C" w14:textId="77777777" w:rsidR="00BB4014" w:rsidRDefault="00BB4014" w:rsidP="00667770">
            <w:pPr>
              <w:pStyle w:val="NoSpacing"/>
            </w:pPr>
            <w:r>
              <w:t xml:space="preserve">The </w:t>
            </w:r>
            <w:r w:rsidRPr="002C2CDB">
              <w:rPr>
                <w:b/>
              </w:rPr>
              <w:t>Institute of Transportation Studies at the University of California, Davis (ITS-Davis)</w:t>
            </w:r>
            <w:r>
              <w:t xml:space="preserve"> is the leading university center in the world on sustainable transportation. With more than 120 graduate students and 60 faculty, ITS-Davis partners with government, industry, and non-governmental organizations to inform policymaking and business decisions and advance the public discourse on key transportation, energy, and environmental issues.  The Sustainable Transportation Energy Pathways (STEPS) Program at ITS-Davis is a multidisciplinary research consortium that investigates critical transition dynamics for sustainable transportation. </w:t>
            </w:r>
          </w:p>
          <w:p w14:paraId="75B83B4B" w14:textId="77777777" w:rsidR="00BB4014" w:rsidRDefault="003947CD" w:rsidP="00667770">
            <w:pPr>
              <w:pStyle w:val="NoSpacing"/>
            </w:pPr>
            <w:hyperlink r:id="rId12" w:history="1">
              <w:r w:rsidR="00BB4014" w:rsidRPr="000A107C">
                <w:rPr>
                  <w:rStyle w:val="Hyperlink"/>
                </w:rPr>
                <w:t>www.its.ucdavis.edu</w:t>
              </w:r>
            </w:hyperlink>
          </w:p>
        </w:tc>
      </w:tr>
    </w:tbl>
    <w:p w14:paraId="7EFF2E40" w14:textId="77777777" w:rsidR="002C2CDB" w:rsidRDefault="002C2CDB" w:rsidP="00667770">
      <w:pPr>
        <w:pStyle w:val="NoSpacing"/>
      </w:pPr>
      <w:r>
        <w:t xml:space="preserve">  </w:t>
      </w:r>
    </w:p>
    <w:p w14:paraId="1E9E4117" w14:textId="77777777" w:rsidR="002C2CDB" w:rsidRPr="00BA46CD" w:rsidRDefault="00BA46CD" w:rsidP="00667770">
      <w:pPr>
        <w:rPr>
          <w:b/>
        </w:rPr>
      </w:pPr>
      <w:r w:rsidRPr="00BA46CD">
        <w:rPr>
          <w:b/>
        </w:rPr>
        <w:t>COMMISSIONED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100"/>
      </w:tblGrid>
      <w:tr w:rsidR="00BB4014" w14:paraId="5A2906EC" w14:textId="77777777" w:rsidTr="00E649E0">
        <w:tc>
          <w:tcPr>
            <w:tcW w:w="2898" w:type="dxa"/>
          </w:tcPr>
          <w:p w14:paraId="3833E24D" w14:textId="77777777" w:rsidR="00BB4014" w:rsidRDefault="00BA46CD" w:rsidP="00667770">
            <w:pPr>
              <w:pStyle w:val="NoSpacing"/>
            </w:pPr>
            <w:r>
              <w:rPr>
                <w:noProof/>
              </w:rPr>
              <w:drawing>
                <wp:anchor distT="0" distB="0" distL="114300" distR="114300" simplePos="0" relativeHeight="251658240" behindDoc="0" locked="0" layoutInCell="1" allowOverlap="1" wp14:anchorId="49D17973" wp14:editId="042D02A4">
                  <wp:simplePos x="457200" y="5667375"/>
                  <wp:positionH relativeFrom="margin">
                    <wp:align>center</wp:align>
                  </wp:positionH>
                  <wp:positionV relativeFrom="margin">
                    <wp:align>center</wp:align>
                  </wp:positionV>
                  <wp:extent cx="1268095" cy="8286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828675"/>
                          </a:xfrm>
                          <a:prstGeom prst="rect">
                            <a:avLst/>
                          </a:prstGeom>
                          <a:noFill/>
                        </pic:spPr>
                      </pic:pic>
                    </a:graphicData>
                  </a:graphic>
                </wp:anchor>
              </w:drawing>
            </w:r>
          </w:p>
        </w:tc>
        <w:tc>
          <w:tcPr>
            <w:tcW w:w="8100" w:type="dxa"/>
          </w:tcPr>
          <w:p w14:paraId="397D80BC" w14:textId="77777777" w:rsidR="00BB4014" w:rsidRDefault="00BB4014" w:rsidP="00667770">
            <w:pPr>
              <w:pStyle w:val="NoSpacing"/>
            </w:pPr>
            <w:r>
              <w:t xml:space="preserve">The </w:t>
            </w:r>
            <w:r w:rsidRPr="002C2CDB">
              <w:rPr>
                <w:b/>
              </w:rPr>
              <w:t xml:space="preserve">Union </w:t>
            </w:r>
            <w:proofErr w:type="spellStart"/>
            <w:r w:rsidRPr="002C2CDB">
              <w:rPr>
                <w:b/>
              </w:rPr>
              <w:t>Cycliste</w:t>
            </w:r>
            <w:proofErr w:type="spellEnd"/>
            <w:r w:rsidRPr="002C2CDB">
              <w:rPr>
                <w:b/>
              </w:rPr>
              <w:t xml:space="preserve"> </w:t>
            </w:r>
            <w:proofErr w:type="spellStart"/>
            <w:r w:rsidRPr="002C2CDB">
              <w:rPr>
                <w:b/>
              </w:rPr>
              <w:t>Internationale</w:t>
            </w:r>
            <w:proofErr w:type="spellEnd"/>
            <w:r w:rsidRPr="002C2CDB">
              <w:rPr>
                <w:b/>
              </w:rPr>
              <w:t xml:space="preserve"> (UCI)</w:t>
            </w:r>
            <w:r>
              <w:t xml:space="preserve"> is the world governing body for the sport of cycling </w:t>
            </w:r>
            <w:proofErr w:type="spellStart"/>
            <w:r>
              <w:t>recognised</w:t>
            </w:r>
            <w:proofErr w:type="spellEnd"/>
            <w:r>
              <w:t xml:space="preserve"> by the International Olympic Committee (IOC). The UCI's commitment is to lead the development of cycling as a competitive sport and activity in all its forms, across the world. </w:t>
            </w:r>
          </w:p>
          <w:p w14:paraId="1EC08131" w14:textId="77777777" w:rsidR="00BB4014" w:rsidRDefault="003947CD" w:rsidP="00667770">
            <w:pPr>
              <w:pStyle w:val="NoSpacing"/>
            </w:pPr>
            <w:hyperlink r:id="rId14" w:history="1">
              <w:r w:rsidR="00BB4014" w:rsidRPr="000A107C">
                <w:rPr>
                  <w:rStyle w:val="Hyperlink"/>
                </w:rPr>
                <w:t>www.uci.ch</w:t>
              </w:r>
            </w:hyperlink>
            <w:r w:rsidR="00BB4014">
              <w:t xml:space="preserve"> </w:t>
            </w:r>
          </w:p>
        </w:tc>
      </w:tr>
    </w:tbl>
    <w:p w14:paraId="72FB6891" w14:textId="77777777" w:rsidR="002C2CDB" w:rsidRDefault="002C2CDB" w:rsidP="00667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100"/>
      </w:tblGrid>
      <w:tr w:rsidR="00BB4014" w14:paraId="4EFEDB40" w14:textId="77777777" w:rsidTr="00E649E0">
        <w:tc>
          <w:tcPr>
            <w:tcW w:w="2898" w:type="dxa"/>
            <w:vAlign w:val="center"/>
          </w:tcPr>
          <w:p w14:paraId="31E784E7" w14:textId="77777777" w:rsidR="00BB4014" w:rsidRDefault="00BB4014" w:rsidP="00667770">
            <w:pPr>
              <w:pStyle w:val="NoSpacing"/>
            </w:pPr>
            <w:r>
              <w:rPr>
                <w:noProof/>
              </w:rPr>
              <w:drawing>
                <wp:inline distT="0" distB="0" distL="0" distR="0" wp14:anchorId="4DCAFEE1" wp14:editId="7FA0EB81">
                  <wp:extent cx="1699260" cy="6087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2986" cy="610055"/>
                          </a:xfrm>
                          <a:prstGeom prst="rect">
                            <a:avLst/>
                          </a:prstGeom>
                        </pic:spPr>
                      </pic:pic>
                    </a:graphicData>
                  </a:graphic>
                </wp:inline>
              </w:drawing>
            </w:r>
          </w:p>
        </w:tc>
        <w:tc>
          <w:tcPr>
            <w:tcW w:w="8100" w:type="dxa"/>
          </w:tcPr>
          <w:p w14:paraId="19E26012" w14:textId="77777777" w:rsidR="002C2CDB" w:rsidRPr="00BB4014" w:rsidRDefault="002C2CDB" w:rsidP="00667770">
            <w:pPr>
              <w:pStyle w:val="NoSpacing"/>
            </w:pPr>
            <w:r w:rsidRPr="00BB4014">
              <w:t xml:space="preserve">The </w:t>
            </w:r>
            <w:r w:rsidRPr="00BB4014">
              <w:rPr>
                <w:b/>
              </w:rPr>
              <w:t>European Cyclists’ Federation (ECF)</w:t>
            </w:r>
            <w:r w:rsidRPr="00BB4014">
              <w:t xml:space="preserve">, with over 80 members from over 40 countries, unites cyclists’ associations from across the globe, giving them a voice on the international level. ECF’s aim is to get more people cycling more often by influencing policy in </w:t>
            </w:r>
            <w:proofErr w:type="spellStart"/>
            <w:r w:rsidRPr="00BB4014">
              <w:t>favour</w:t>
            </w:r>
            <w:proofErr w:type="spellEnd"/>
            <w:r w:rsidRPr="00BB4014">
              <w:t xml:space="preserve"> of cycling. </w:t>
            </w:r>
          </w:p>
          <w:p w14:paraId="1C8C5753" w14:textId="77777777" w:rsidR="00BB4014" w:rsidRDefault="003947CD" w:rsidP="00667770">
            <w:pPr>
              <w:pStyle w:val="NoSpacing"/>
            </w:pPr>
            <w:hyperlink r:id="rId16" w:history="1">
              <w:r w:rsidR="002C2CDB" w:rsidRPr="00BB4014">
                <w:rPr>
                  <w:rStyle w:val="Hyperlink"/>
                </w:rPr>
                <w:t>www.ecf.com</w:t>
              </w:r>
            </w:hyperlink>
          </w:p>
        </w:tc>
      </w:tr>
    </w:tbl>
    <w:p w14:paraId="222E06C3" w14:textId="77777777" w:rsidR="002C2CDB" w:rsidRDefault="002C2CDB" w:rsidP="00667770">
      <w:pPr>
        <w:pStyle w:val="NoSpacing"/>
      </w:pPr>
      <w:r>
        <w:t xml:space="preserve"> </w:t>
      </w:r>
    </w:p>
    <w:p w14:paraId="5AC61884" w14:textId="77777777" w:rsidR="00BB4014" w:rsidRDefault="00BB4014" w:rsidP="006677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8100"/>
      </w:tblGrid>
      <w:tr w:rsidR="00BB4014" w14:paraId="7AD3F220" w14:textId="77777777" w:rsidTr="00E649E0">
        <w:tc>
          <w:tcPr>
            <w:tcW w:w="2898" w:type="dxa"/>
          </w:tcPr>
          <w:p w14:paraId="7CA76A33" w14:textId="77777777" w:rsidR="00BB4014" w:rsidRDefault="0088663A" w:rsidP="00667770">
            <w:r>
              <w:rPr>
                <w:noProof/>
              </w:rPr>
              <w:drawing>
                <wp:inline distT="0" distB="0" distL="0" distR="0" wp14:anchorId="5B77B809" wp14:editId="1ADC1AFF">
                  <wp:extent cx="1753028"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me-rgb-BPSA.jpg"/>
                          <pic:cNvPicPr/>
                        </pic:nvPicPr>
                        <pic:blipFill>
                          <a:blip r:embed="rId17">
                            <a:extLst>
                              <a:ext uri="{28A0092B-C50C-407E-A947-70E740481C1C}">
                                <a14:useLocalDpi xmlns:a14="http://schemas.microsoft.com/office/drawing/2010/main" val="0"/>
                              </a:ext>
                            </a:extLst>
                          </a:blip>
                          <a:stretch>
                            <a:fillRect/>
                          </a:stretch>
                        </pic:blipFill>
                        <pic:spPr>
                          <a:xfrm>
                            <a:off x="0" y="0"/>
                            <a:ext cx="1753028" cy="800100"/>
                          </a:xfrm>
                          <a:prstGeom prst="rect">
                            <a:avLst/>
                          </a:prstGeom>
                        </pic:spPr>
                      </pic:pic>
                    </a:graphicData>
                  </a:graphic>
                </wp:inline>
              </w:drawing>
            </w:r>
          </w:p>
        </w:tc>
        <w:tc>
          <w:tcPr>
            <w:tcW w:w="8100" w:type="dxa"/>
          </w:tcPr>
          <w:p w14:paraId="3DA21619" w14:textId="77777777" w:rsidR="00BB4014" w:rsidRDefault="00BB4014" w:rsidP="00667770">
            <w:pPr>
              <w:pStyle w:val="NoSpacing"/>
            </w:pPr>
            <w:r>
              <w:t xml:space="preserve">The </w:t>
            </w:r>
            <w:r w:rsidRPr="002C2CDB">
              <w:rPr>
                <w:b/>
              </w:rPr>
              <w:t>Bicycle Product Suppliers Association (BPSA)</w:t>
            </w:r>
            <w:r>
              <w:t xml:space="preserve"> is</w:t>
            </w:r>
            <w:r w:rsidR="00E649E0">
              <w:t xml:space="preserve"> BPSA is an association of suppliers of bicycles, parts, accessories and services. The association leads industry initiatives in legal and governmental affairs and safety issues, is the leading resource for bicycle statistical data, and provides regular networking and educational forums for members.</w:t>
            </w:r>
          </w:p>
          <w:p w14:paraId="0E368265" w14:textId="77777777" w:rsidR="00BB4014" w:rsidRDefault="003947CD" w:rsidP="00667770">
            <w:pPr>
              <w:pStyle w:val="NoSpacing"/>
            </w:pPr>
            <w:hyperlink r:id="rId18" w:history="1">
              <w:r w:rsidR="00BB4014" w:rsidRPr="000A107C">
                <w:rPr>
                  <w:rStyle w:val="Hyperlink"/>
                </w:rPr>
                <w:t>www.bpsa.org</w:t>
              </w:r>
            </w:hyperlink>
            <w:r w:rsidR="00BB4014">
              <w:t xml:space="preserve"> </w:t>
            </w:r>
          </w:p>
          <w:p w14:paraId="5C3510D7" w14:textId="77777777" w:rsidR="00BB4014" w:rsidRDefault="00BB4014" w:rsidP="00667770"/>
        </w:tc>
      </w:tr>
    </w:tbl>
    <w:p w14:paraId="0CF7F66B" w14:textId="77777777" w:rsidR="00E649E0" w:rsidRDefault="00E649E0" w:rsidP="00667770">
      <w:pPr>
        <w:rPr>
          <w:b/>
        </w:rPr>
      </w:pPr>
    </w:p>
    <w:p w14:paraId="1FB520DE" w14:textId="77777777" w:rsidR="002C2CDB" w:rsidRPr="00BA46CD" w:rsidRDefault="002C2CDB" w:rsidP="00667770">
      <w:pPr>
        <w:rPr>
          <w:b/>
        </w:rPr>
      </w:pPr>
      <w:r w:rsidRPr="00BA46CD">
        <w:rPr>
          <w:b/>
        </w:rPr>
        <w:lastRenderedPageBreak/>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130"/>
      </w:tblGrid>
      <w:tr w:rsidR="00BA46CD" w14:paraId="570FEAA1" w14:textId="77777777" w:rsidTr="00E649E0">
        <w:tc>
          <w:tcPr>
            <w:tcW w:w="5868" w:type="dxa"/>
          </w:tcPr>
          <w:p w14:paraId="02BAAEC2" w14:textId="77777777" w:rsidR="00BA46CD" w:rsidRPr="00D675C4" w:rsidRDefault="00BA46CD" w:rsidP="00667770">
            <w:pPr>
              <w:pStyle w:val="NoSpacing"/>
              <w:rPr>
                <w:b/>
              </w:rPr>
            </w:pPr>
            <w:r w:rsidRPr="00D675C4">
              <w:rPr>
                <w:b/>
              </w:rPr>
              <w:t xml:space="preserve">Jemilah Magnusson </w:t>
            </w:r>
          </w:p>
          <w:p w14:paraId="4ECEEE3D" w14:textId="77777777" w:rsidR="00BA46CD" w:rsidRDefault="00BA46CD" w:rsidP="00667770">
            <w:pPr>
              <w:pStyle w:val="NoSpacing"/>
              <w:rPr>
                <w:b/>
              </w:rPr>
            </w:pPr>
            <w:r>
              <w:t xml:space="preserve">ITDP Communications Manager </w:t>
            </w:r>
            <w:r>
              <w:br/>
              <w:t>+ 1 646-380-2357 (USA - New York)</w:t>
            </w:r>
            <w:r>
              <w:br/>
            </w:r>
            <w:hyperlink r:id="rId19" w:history="1">
              <w:r w:rsidRPr="000A107C">
                <w:rPr>
                  <w:rStyle w:val="Hyperlink"/>
                </w:rPr>
                <w:t>jemilah.magnusson@itdp.org</w:t>
              </w:r>
            </w:hyperlink>
          </w:p>
        </w:tc>
        <w:tc>
          <w:tcPr>
            <w:tcW w:w="5130" w:type="dxa"/>
          </w:tcPr>
          <w:p w14:paraId="739688FB" w14:textId="77777777" w:rsidR="00BA46CD" w:rsidRDefault="00BA46CD" w:rsidP="00667770">
            <w:pPr>
              <w:pStyle w:val="NoSpacing"/>
            </w:pPr>
            <w:r w:rsidRPr="00D675C4">
              <w:rPr>
                <w:b/>
              </w:rPr>
              <w:t>Kat Kerlin</w:t>
            </w:r>
            <w:r>
              <w:br/>
              <w:t>UC Davis News and Media Relations</w:t>
            </w:r>
            <w:r>
              <w:br/>
              <w:t>+1 530-752-7704 (USA – California)</w:t>
            </w:r>
            <w:r>
              <w:br/>
            </w:r>
            <w:hyperlink r:id="rId20" w:history="1">
              <w:r w:rsidRPr="000A107C">
                <w:rPr>
                  <w:rStyle w:val="Hyperlink"/>
                </w:rPr>
                <w:t>kekerlin@ucdavis.edu</w:t>
              </w:r>
            </w:hyperlink>
            <w:r>
              <w:t xml:space="preserve"> </w:t>
            </w:r>
          </w:p>
          <w:p w14:paraId="7111E876" w14:textId="77777777" w:rsidR="00BA46CD" w:rsidRDefault="00BA46CD" w:rsidP="00667770">
            <w:pPr>
              <w:pStyle w:val="NoSpacing"/>
              <w:rPr>
                <w:b/>
              </w:rPr>
            </w:pPr>
          </w:p>
        </w:tc>
      </w:tr>
      <w:tr w:rsidR="00BA46CD" w14:paraId="526C7258" w14:textId="77777777" w:rsidTr="00E649E0">
        <w:tc>
          <w:tcPr>
            <w:tcW w:w="5868" w:type="dxa"/>
          </w:tcPr>
          <w:p w14:paraId="18A914C2" w14:textId="77777777" w:rsidR="00BA46CD" w:rsidRPr="00D675C4" w:rsidRDefault="00BA46CD" w:rsidP="00667770">
            <w:pPr>
              <w:pStyle w:val="NoSpacing"/>
              <w:rPr>
                <w:b/>
              </w:rPr>
            </w:pPr>
            <w:r w:rsidRPr="00D675C4">
              <w:rPr>
                <w:b/>
              </w:rPr>
              <w:t>Elina Baltatzi</w:t>
            </w:r>
          </w:p>
          <w:p w14:paraId="298E0A07" w14:textId="77777777" w:rsidR="00BA46CD" w:rsidRPr="0088663A" w:rsidRDefault="00BA46CD" w:rsidP="00667770">
            <w:pPr>
              <w:pStyle w:val="NoSpacing"/>
              <w:rPr>
                <w:lang w:val="fr-BE"/>
              </w:rPr>
            </w:pPr>
            <w:r w:rsidRPr="0088663A">
              <w:rPr>
                <w:lang w:val="fr-BE"/>
              </w:rPr>
              <w:t xml:space="preserve">ECF Communications </w:t>
            </w:r>
            <w:proofErr w:type="spellStart"/>
            <w:r w:rsidRPr="0088663A">
              <w:rPr>
                <w:lang w:val="fr-BE"/>
              </w:rPr>
              <w:t>Officer</w:t>
            </w:r>
            <w:proofErr w:type="spellEnd"/>
            <w:r w:rsidRPr="0088663A">
              <w:rPr>
                <w:lang w:val="fr-BE"/>
              </w:rPr>
              <w:br/>
              <w:t xml:space="preserve">+32 2 808 5876 (Europe – </w:t>
            </w:r>
            <w:proofErr w:type="spellStart"/>
            <w:r w:rsidRPr="0088663A">
              <w:rPr>
                <w:lang w:val="fr-BE"/>
              </w:rPr>
              <w:t>Belgium</w:t>
            </w:r>
            <w:proofErr w:type="spellEnd"/>
            <w:r w:rsidRPr="0088663A">
              <w:rPr>
                <w:lang w:val="fr-BE"/>
              </w:rPr>
              <w:t>)</w:t>
            </w:r>
            <w:r w:rsidRPr="0088663A">
              <w:rPr>
                <w:lang w:val="fr-BE"/>
              </w:rPr>
              <w:br/>
            </w:r>
            <w:hyperlink r:id="rId21" w:history="1">
              <w:r w:rsidRPr="0088663A">
                <w:rPr>
                  <w:rStyle w:val="Hyperlink"/>
                  <w:lang w:val="fr-BE"/>
                </w:rPr>
                <w:t>e.baltatiz@ecf.com</w:t>
              </w:r>
            </w:hyperlink>
            <w:r w:rsidRPr="0088663A">
              <w:rPr>
                <w:lang w:val="fr-BE"/>
              </w:rPr>
              <w:t xml:space="preserve"> </w:t>
            </w:r>
          </w:p>
          <w:p w14:paraId="4923872F" w14:textId="77777777" w:rsidR="00BA46CD" w:rsidRDefault="00BA46CD" w:rsidP="00667770">
            <w:pPr>
              <w:pStyle w:val="NoSpacing"/>
              <w:rPr>
                <w:b/>
              </w:rPr>
            </w:pPr>
          </w:p>
        </w:tc>
        <w:tc>
          <w:tcPr>
            <w:tcW w:w="5130" w:type="dxa"/>
          </w:tcPr>
          <w:p w14:paraId="7305EB57" w14:textId="1593F860" w:rsidR="001269E1" w:rsidRPr="001269E1" w:rsidRDefault="001269E1" w:rsidP="00667770">
            <w:pPr>
              <w:pStyle w:val="NoSpacing"/>
              <w:rPr>
                <w:lang w:val="en-GB"/>
              </w:rPr>
            </w:pPr>
            <w:r>
              <w:rPr>
                <w:b/>
              </w:rPr>
              <w:t xml:space="preserve">Louis </w:t>
            </w:r>
            <w:proofErr w:type="spellStart"/>
            <w:r>
              <w:rPr>
                <w:b/>
              </w:rPr>
              <w:t>Chenaille</w:t>
            </w:r>
            <w:proofErr w:type="spellEnd"/>
            <w:r w:rsidR="00BA46CD" w:rsidRPr="0088663A">
              <w:br/>
            </w:r>
            <w:r>
              <w:t>UCI Press Officer</w:t>
            </w:r>
            <w:r>
              <w:br/>
            </w:r>
            <w:r w:rsidRPr="00BA4999">
              <w:rPr>
                <w:lang w:val="en-GB"/>
              </w:rPr>
              <w:t>+41 24 468 58 31</w:t>
            </w:r>
            <w:r>
              <w:rPr>
                <w:lang w:val="en-GB"/>
              </w:rPr>
              <w:t xml:space="preserve"> (Switzerland)</w:t>
            </w:r>
            <w:r>
              <w:rPr>
                <w:lang w:val="fr-BE"/>
              </w:rPr>
              <w:br/>
            </w:r>
            <w:hyperlink r:id="rId22" w:history="1">
              <w:r w:rsidR="001C0371" w:rsidRPr="00C035AB">
                <w:rPr>
                  <w:rStyle w:val="Hyperlink"/>
                  <w:lang w:val="en-GB"/>
                </w:rPr>
                <w:t>Louis.Chenaille@uci.ch</w:t>
              </w:r>
            </w:hyperlink>
            <w:r w:rsidR="001C0371">
              <w:rPr>
                <w:lang w:val="en-GB"/>
              </w:rPr>
              <w:t xml:space="preserve"> </w:t>
            </w:r>
          </w:p>
          <w:p w14:paraId="45225D92" w14:textId="34C6D13F" w:rsidR="00BA46CD" w:rsidRDefault="00BA46CD" w:rsidP="00667770">
            <w:pPr>
              <w:pStyle w:val="NoSpacing"/>
              <w:rPr>
                <w:b/>
              </w:rPr>
            </w:pPr>
          </w:p>
        </w:tc>
      </w:tr>
      <w:tr w:rsidR="00BA46CD" w14:paraId="7405478B" w14:textId="77777777" w:rsidTr="00E649E0">
        <w:tc>
          <w:tcPr>
            <w:tcW w:w="5868" w:type="dxa"/>
          </w:tcPr>
          <w:p w14:paraId="256B7EAD" w14:textId="77777777" w:rsidR="00BA46CD" w:rsidRDefault="00BA46CD" w:rsidP="00667770">
            <w:pPr>
              <w:pStyle w:val="NoSpacing"/>
              <w:rPr>
                <w:b/>
              </w:rPr>
            </w:pPr>
            <w:r w:rsidRPr="0088663A">
              <w:rPr>
                <w:b/>
              </w:rPr>
              <w:t>Ray Keener</w:t>
            </w:r>
            <w:r>
              <w:br/>
              <w:t>BPSA Executive Director</w:t>
            </w:r>
            <w:r>
              <w:br/>
              <w:t>+1 303-442-2466 (USA – Colorado)</w:t>
            </w:r>
            <w:r>
              <w:br/>
            </w:r>
            <w:hyperlink r:id="rId23" w:history="1">
              <w:r w:rsidRPr="0088663A">
                <w:rPr>
                  <w:rStyle w:val="Hyperlink"/>
                </w:rPr>
                <w:t>ray@bpsa.org</w:t>
              </w:r>
            </w:hyperlink>
            <w:r>
              <w:br/>
            </w:r>
          </w:p>
        </w:tc>
        <w:tc>
          <w:tcPr>
            <w:tcW w:w="5130" w:type="dxa"/>
          </w:tcPr>
          <w:p w14:paraId="27E76B1F" w14:textId="77777777" w:rsidR="00BA46CD" w:rsidRDefault="00BA46CD" w:rsidP="00667770">
            <w:pPr>
              <w:pStyle w:val="NoSpacing"/>
              <w:rPr>
                <w:b/>
              </w:rPr>
            </w:pPr>
          </w:p>
        </w:tc>
      </w:tr>
    </w:tbl>
    <w:p w14:paraId="0996A40C" w14:textId="77777777" w:rsidR="00BA46CD" w:rsidRDefault="00BA46CD" w:rsidP="00667770">
      <w:pPr>
        <w:pStyle w:val="NoSpacing"/>
        <w:rPr>
          <w:b/>
        </w:rPr>
      </w:pPr>
    </w:p>
    <w:p w14:paraId="73202045" w14:textId="77777777" w:rsidR="00BA46CD" w:rsidRDefault="00BA46CD" w:rsidP="00667770">
      <w:pPr>
        <w:pStyle w:val="NoSpacing"/>
        <w:rPr>
          <w:b/>
        </w:rPr>
      </w:pPr>
    </w:p>
    <w:p w14:paraId="3282F4F2" w14:textId="77777777" w:rsidR="009E3654" w:rsidRDefault="009E3654" w:rsidP="00667770">
      <w:pPr>
        <w:pStyle w:val="NoSpacing"/>
      </w:pPr>
      <w:r>
        <w:t xml:space="preserve"> </w:t>
      </w:r>
    </w:p>
    <w:p w14:paraId="64FBC7BF" w14:textId="77777777" w:rsidR="00D675C4" w:rsidRDefault="00D675C4" w:rsidP="00667770">
      <w:pPr>
        <w:pStyle w:val="NoSpacing"/>
      </w:pPr>
    </w:p>
    <w:p w14:paraId="2A2AD071" w14:textId="77777777" w:rsidR="002C2CDB" w:rsidRDefault="002C2CDB" w:rsidP="00667770"/>
    <w:p w14:paraId="478B41A9" w14:textId="77777777" w:rsidR="009E3654" w:rsidRPr="00BA46CD" w:rsidRDefault="009E3654" w:rsidP="00667770"/>
    <w:p w14:paraId="4462DC97" w14:textId="77777777" w:rsidR="00BA46CD" w:rsidRPr="00BA46CD" w:rsidRDefault="00BA46CD" w:rsidP="00667770">
      <w:r w:rsidRPr="00BA46CD">
        <w:br/>
      </w:r>
    </w:p>
    <w:p w14:paraId="1FB571C9" w14:textId="77777777" w:rsidR="009E3654" w:rsidRPr="00BA46CD" w:rsidRDefault="009E3654" w:rsidP="00667770"/>
    <w:sectPr w:rsidR="009E3654" w:rsidRPr="00BA46CD" w:rsidSect="00BA46CD">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DBE3" w14:textId="77777777" w:rsidR="003947CD" w:rsidRDefault="003947CD" w:rsidP="00D675C4">
      <w:pPr>
        <w:spacing w:after="0" w:line="240" w:lineRule="auto"/>
      </w:pPr>
      <w:r>
        <w:separator/>
      </w:r>
    </w:p>
  </w:endnote>
  <w:endnote w:type="continuationSeparator" w:id="0">
    <w:p w14:paraId="0600BDBA" w14:textId="77777777" w:rsidR="003947CD" w:rsidRDefault="003947CD" w:rsidP="00D6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4631" w14:textId="77777777" w:rsidR="003947CD" w:rsidRDefault="003947CD" w:rsidP="00D675C4">
      <w:pPr>
        <w:spacing w:after="0" w:line="240" w:lineRule="auto"/>
      </w:pPr>
      <w:r>
        <w:separator/>
      </w:r>
    </w:p>
  </w:footnote>
  <w:footnote w:type="continuationSeparator" w:id="0">
    <w:p w14:paraId="3BD1284F" w14:textId="77777777" w:rsidR="003947CD" w:rsidRDefault="003947CD" w:rsidP="00D675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614A" w14:textId="77777777" w:rsidR="00D675C4" w:rsidRDefault="00D675C4" w:rsidP="00BB4014">
    <w:pPr>
      <w:pStyle w:val="Header"/>
      <w:jc w:val="center"/>
      <w:rPr>
        <w:noProof/>
      </w:rPr>
    </w:pPr>
  </w:p>
  <w:p w14:paraId="21940603" w14:textId="77777777" w:rsidR="00D675C4" w:rsidRDefault="00D675C4" w:rsidP="00BB4014">
    <w:pPr>
      <w:pStyle w:val="Header"/>
      <w:jc w:val="center"/>
      <w:rPr>
        <w:noProof/>
      </w:rPr>
    </w:pPr>
  </w:p>
  <w:p w14:paraId="46B7686C" w14:textId="77777777" w:rsidR="00D675C4" w:rsidRDefault="00D675C4" w:rsidP="00BB40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D66"/>
    <w:multiLevelType w:val="hybridMultilevel"/>
    <w:tmpl w:val="451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24808"/>
    <w:multiLevelType w:val="hybridMultilevel"/>
    <w:tmpl w:val="1C9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DB"/>
    <w:rsid w:val="000557A1"/>
    <w:rsid w:val="000806E7"/>
    <w:rsid w:val="001269E1"/>
    <w:rsid w:val="001454A6"/>
    <w:rsid w:val="001A441C"/>
    <w:rsid w:val="001C0371"/>
    <w:rsid w:val="00275720"/>
    <w:rsid w:val="002C2CDB"/>
    <w:rsid w:val="003947CD"/>
    <w:rsid w:val="004C5973"/>
    <w:rsid w:val="005F43A4"/>
    <w:rsid w:val="00617536"/>
    <w:rsid w:val="00623719"/>
    <w:rsid w:val="006557F9"/>
    <w:rsid w:val="00667770"/>
    <w:rsid w:val="006D0D5D"/>
    <w:rsid w:val="007B07CD"/>
    <w:rsid w:val="0088663A"/>
    <w:rsid w:val="008D2293"/>
    <w:rsid w:val="008F3E98"/>
    <w:rsid w:val="009E3654"/>
    <w:rsid w:val="00A869BC"/>
    <w:rsid w:val="00AE5A86"/>
    <w:rsid w:val="00B9620D"/>
    <w:rsid w:val="00BA46CD"/>
    <w:rsid w:val="00BB4014"/>
    <w:rsid w:val="00C6071A"/>
    <w:rsid w:val="00D675C4"/>
    <w:rsid w:val="00E2452B"/>
    <w:rsid w:val="00E649E0"/>
    <w:rsid w:val="00ED12E3"/>
    <w:rsid w:val="00FB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5A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DB"/>
    <w:pPr>
      <w:spacing w:after="0" w:line="240" w:lineRule="auto"/>
    </w:pPr>
  </w:style>
  <w:style w:type="paragraph" w:styleId="ListParagraph">
    <w:name w:val="List Paragraph"/>
    <w:basedOn w:val="Normal"/>
    <w:uiPriority w:val="34"/>
    <w:qFormat/>
    <w:rsid w:val="002C2CDB"/>
    <w:pPr>
      <w:ind w:left="720"/>
      <w:contextualSpacing/>
    </w:pPr>
  </w:style>
  <w:style w:type="character" w:styleId="Hyperlink">
    <w:name w:val="Hyperlink"/>
    <w:basedOn w:val="DefaultParagraphFont"/>
    <w:uiPriority w:val="99"/>
    <w:unhideWhenUsed/>
    <w:rsid w:val="002C2CDB"/>
    <w:rPr>
      <w:color w:val="0000FF" w:themeColor="hyperlink"/>
      <w:u w:val="single"/>
    </w:rPr>
  </w:style>
  <w:style w:type="character" w:styleId="CommentReference">
    <w:name w:val="annotation reference"/>
    <w:basedOn w:val="DefaultParagraphFont"/>
    <w:uiPriority w:val="99"/>
    <w:semiHidden/>
    <w:unhideWhenUsed/>
    <w:rsid w:val="002C2CDB"/>
    <w:rPr>
      <w:sz w:val="16"/>
      <w:szCs w:val="16"/>
    </w:rPr>
  </w:style>
  <w:style w:type="paragraph" w:styleId="CommentText">
    <w:name w:val="annotation text"/>
    <w:basedOn w:val="Normal"/>
    <w:link w:val="CommentTextChar"/>
    <w:uiPriority w:val="99"/>
    <w:semiHidden/>
    <w:unhideWhenUsed/>
    <w:rsid w:val="002C2CDB"/>
    <w:pPr>
      <w:spacing w:line="240" w:lineRule="auto"/>
    </w:pPr>
    <w:rPr>
      <w:sz w:val="20"/>
      <w:szCs w:val="20"/>
    </w:rPr>
  </w:style>
  <w:style w:type="character" w:customStyle="1" w:styleId="CommentTextChar">
    <w:name w:val="Comment Text Char"/>
    <w:basedOn w:val="DefaultParagraphFont"/>
    <w:link w:val="CommentText"/>
    <w:uiPriority w:val="99"/>
    <w:semiHidden/>
    <w:rsid w:val="002C2CDB"/>
    <w:rPr>
      <w:sz w:val="20"/>
      <w:szCs w:val="20"/>
    </w:rPr>
  </w:style>
  <w:style w:type="paragraph" w:styleId="CommentSubject">
    <w:name w:val="annotation subject"/>
    <w:basedOn w:val="CommentText"/>
    <w:next w:val="CommentText"/>
    <w:link w:val="CommentSubjectChar"/>
    <w:uiPriority w:val="99"/>
    <w:semiHidden/>
    <w:unhideWhenUsed/>
    <w:rsid w:val="002C2CDB"/>
    <w:rPr>
      <w:b/>
      <w:bCs/>
    </w:rPr>
  </w:style>
  <w:style w:type="character" w:customStyle="1" w:styleId="CommentSubjectChar">
    <w:name w:val="Comment Subject Char"/>
    <w:basedOn w:val="CommentTextChar"/>
    <w:link w:val="CommentSubject"/>
    <w:uiPriority w:val="99"/>
    <w:semiHidden/>
    <w:rsid w:val="002C2CDB"/>
    <w:rPr>
      <w:b/>
      <w:bCs/>
      <w:sz w:val="20"/>
      <w:szCs w:val="20"/>
    </w:rPr>
  </w:style>
  <w:style w:type="paragraph" w:styleId="BalloonText">
    <w:name w:val="Balloon Text"/>
    <w:basedOn w:val="Normal"/>
    <w:link w:val="BalloonTextChar"/>
    <w:uiPriority w:val="99"/>
    <w:semiHidden/>
    <w:unhideWhenUsed/>
    <w:rsid w:val="002C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DB"/>
    <w:rPr>
      <w:rFonts w:ascii="Tahoma" w:hAnsi="Tahoma" w:cs="Tahoma"/>
      <w:sz w:val="16"/>
      <w:szCs w:val="16"/>
    </w:rPr>
  </w:style>
  <w:style w:type="paragraph" w:styleId="Header">
    <w:name w:val="header"/>
    <w:basedOn w:val="Normal"/>
    <w:link w:val="HeaderChar"/>
    <w:uiPriority w:val="99"/>
    <w:unhideWhenUsed/>
    <w:rsid w:val="00D67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C4"/>
  </w:style>
  <w:style w:type="paragraph" w:styleId="Footer">
    <w:name w:val="footer"/>
    <w:basedOn w:val="Normal"/>
    <w:link w:val="FooterChar"/>
    <w:uiPriority w:val="99"/>
    <w:unhideWhenUsed/>
    <w:rsid w:val="00D6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C4"/>
  </w:style>
  <w:style w:type="table" w:styleId="TableGrid">
    <w:name w:val="Table Grid"/>
    <w:basedOn w:val="TableNormal"/>
    <w:uiPriority w:val="59"/>
    <w:rsid w:val="00BB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758">
      <w:bodyDiv w:val="1"/>
      <w:marLeft w:val="0"/>
      <w:marRight w:val="0"/>
      <w:marTop w:val="0"/>
      <w:marBottom w:val="0"/>
      <w:divBdr>
        <w:top w:val="none" w:sz="0" w:space="0" w:color="auto"/>
        <w:left w:val="none" w:sz="0" w:space="0" w:color="auto"/>
        <w:bottom w:val="none" w:sz="0" w:space="0" w:color="auto"/>
        <w:right w:val="none" w:sz="0" w:space="0" w:color="auto"/>
      </w:divBdr>
    </w:div>
    <w:div w:id="3528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kekerlin@ucdavis.edu" TargetMode="External"/><Relationship Id="rId21" Type="http://schemas.openxmlformats.org/officeDocument/2006/relationships/hyperlink" Target="mailto:e.baltatiz@ecf.com" TargetMode="External"/><Relationship Id="rId22" Type="http://schemas.openxmlformats.org/officeDocument/2006/relationships/hyperlink" Target="mailto:Louis.Chenaille@uci.ch" TargetMode="External"/><Relationship Id="rId23" Type="http://schemas.openxmlformats.org/officeDocument/2006/relationships/hyperlink" Target="mailto:ray@bpsa.org"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tdp.org" TargetMode="External"/><Relationship Id="rId11" Type="http://schemas.openxmlformats.org/officeDocument/2006/relationships/image" Target="media/image2.png"/><Relationship Id="rId12" Type="http://schemas.openxmlformats.org/officeDocument/2006/relationships/hyperlink" Target="http://www.its.ucdavis.edu" TargetMode="External"/><Relationship Id="rId13" Type="http://schemas.openxmlformats.org/officeDocument/2006/relationships/image" Target="media/image3.png"/><Relationship Id="rId14" Type="http://schemas.openxmlformats.org/officeDocument/2006/relationships/hyperlink" Target="http://www.uci.ch" TargetMode="External"/><Relationship Id="rId15" Type="http://schemas.openxmlformats.org/officeDocument/2006/relationships/image" Target="media/image4.png"/><Relationship Id="rId16" Type="http://schemas.openxmlformats.org/officeDocument/2006/relationships/hyperlink" Target="http://www.ecf.com" TargetMode="External"/><Relationship Id="rId17" Type="http://schemas.openxmlformats.org/officeDocument/2006/relationships/image" Target="media/image5.jpg"/><Relationship Id="rId18" Type="http://schemas.openxmlformats.org/officeDocument/2006/relationships/hyperlink" Target="http://www.bpsa.org" TargetMode="External"/><Relationship Id="rId19" Type="http://schemas.openxmlformats.org/officeDocument/2006/relationships/hyperlink" Target="mailto:jemilah.magnusson@itdp.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tdp.org/the-benefits-of-shifting-to-cycling/" TargetMode="External"/><Relationship Id="rId8" Type="http://schemas.openxmlformats.org/officeDocument/2006/relationships/hyperlink" Target="https://www.itdp.org/a-global-high-shift-cycling-scen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4934</Characters>
  <Application>Microsoft Macintosh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 Kruchten</dc:creator>
  <cp:lastModifiedBy>jemilah.magnusson@itdp.org</cp:lastModifiedBy>
  <cp:revision>2</cp:revision>
  <dcterms:created xsi:type="dcterms:W3CDTF">2015-11-12T15:00:00Z</dcterms:created>
  <dcterms:modified xsi:type="dcterms:W3CDTF">2015-11-12T15:00:00Z</dcterms:modified>
</cp:coreProperties>
</file>